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38" w:rsidRDefault="00924E38" w:rsidP="00853189">
      <w:pPr>
        <w:jc w:val="both"/>
      </w:pPr>
      <w:r w:rsidRPr="00924E38">
        <w:t>Na podlagi</w:t>
      </w:r>
      <w:r>
        <w:t xml:space="preserve"> prvega odstavka 25. člena in 32</w:t>
      </w:r>
      <w:r w:rsidRPr="00924E38">
        <w:t xml:space="preserve">. člena Zakona o kolektivnem upravljanju avtorske in sorodnih pravic (Uradni list RS, št. 63/16, ZKUASP) </w:t>
      </w:r>
      <w:r w:rsidR="0087216B">
        <w:t xml:space="preserve">ter Pogodbe o ustanovitvi združenja SAZOR GIZ </w:t>
      </w:r>
      <w:r w:rsidRPr="00924E38">
        <w:t xml:space="preserve">skupščina avtorjev in skupščina založnikov združenja SAZOR – Slovenska avtorska in založniška organizacija za pravice reproduciranja GIZ (združenje) </w:t>
      </w:r>
      <w:r w:rsidR="00787AEA">
        <w:t xml:space="preserve">dne __.__.2017 </w:t>
      </w:r>
      <w:r w:rsidRPr="00924E38">
        <w:t>sprejme naslednja</w:t>
      </w:r>
    </w:p>
    <w:p w:rsidR="00924E38" w:rsidRDefault="00924E38" w:rsidP="00924E38"/>
    <w:p w:rsidR="00924E38" w:rsidRDefault="00924E38" w:rsidP="00924E38">
      <w:pPr>
        <w:jc w:val="center"/>
        <w:rPr>
          <w:b/>
        </w:rPr>
      </w:pPr>
      <w:r w:rsidRPr="00924E38">
        <w:rPr>
          <w:b/>
        </w:rPr>
        <w:t>PRAVILA O STROŠKIH POSLOVANJA</w:t>
      </w:r>
      <w:r>
        <w:rPr>
          <w:b/>
        </w:rPr>
        <w:t xml:space="preserve"> ZDRUŽENJA SAZOR GIZ</w:t>
      </w:r>
    </w:p>
    <w:p w:rsidR="0087216B" w:rsidRDefault="0087216B" w:rsidP="0087216B">
      <w:pPr>
        <w:jc w:val="both"/>
      </w:pPr>
    </w:p>
    <w:p w:rsidR="00400D70" w:rsidRPr="00400D70" w:rsidRDefault="00400D70" w:rsidP="00400D70">
      <w:pPr>
        <w:pStyle w:val="Odstavekseznama"/>
        <w:numPr>
          <w:ilvl w:val="0"/>
          <w:numId w:val="1"/>
        </w:numPr>
        <w:jc w:val="center"/>
        <w:rPr>
          <w:b/>
        </w:rPr>
      </w:pPr>
      <w:r w:rsidRPr="00400D70">
        <w:rPr>
          <w:b/>
        </w:rPr>
        <w:t>člen</w:t>
      </w:r>
    </w:p>
    <w:p w:rsidR="00400D70" w:rsidRDefault="00400D70" w:rsidP="00400D70">
      <w:pPr>
        <w:pStyle w:val="Odstavekseznama"/>
        <w:jc w:val="center"/>
        <w:rPr>
          <w:b/>
        </w:rPr>
      </w:pPr>
      <w:r w:rsidRPr="00400D70">
        <w:rPr>
          <w:b/>
        </w:rPr>
        <w:t>(opredelitev stroškov poslovanja)</w:t>
      </w:r>
    </w:p>
    <w:p w:rsidR="00400D70" w:rsidRDefault="00400D70" w:rsidP="00400D70">
      <w:pPr>
        <w:pStyle w:val="Odstavekseznama"/>
        <w:jc w:val="center"/>
        <w:rPr>
          <w:b/>
        </w:rPr>
      </w:pPr>
    </w:p>
    <w:p w:rsidR="00400D70" w:rsidRDefault="00400D70" w:rsidP="00400D70">
      <w:pPr>
        <w:jc w:val="both"/>
      </w:pPr>
      <w:r w:rsidRPr="00B70D48">
        <w:t xml:space="preserve">Skladno z zakonom so stroški poslovanja združenja tisti stroški, ki so nastali </w:t>
      </w:r>
      <w:r w:rsidR="00B70D48" w:rsidRPr="00B70D48">
        <w:t>z ustreznim in razumnim upravljanjem združenja, ki je v korist imetnikom pravic, in so nujno potrebni za izvajanje dejavnosti združenja.</w:t>
      </w:r>
    </w:p>
    <w:p w:rsidR="00B70D48" w:rsidRDefault="00B70D48" w:rsidP="00400D70">
      <w:pPr>
        <w:jc w:val="both"/>
      </w:pPr>
      <w:r>
        <w:t xml:space="preserve">Stroški poslovanja združenja morajo biti razumni in utemeljeni ter v skladu s temi pravili. Vsi stroški združenja morajo biti dokumentirani in preverljivi. </w:t>
      </w:r>
    </w:p>
    <w:p w:rsidR="0055299E" w:rsidRDefault="0055299E" w:rsidP="00400D70">
      <w:pPr>
        <w:jc w:val="both"/>
      </w:pPr>
    </w:p>
    <w:p w:rsidR="0055299E" w:rsidRDefault="0055299E" w:rsidP="0055299E">
      <w:pPr>
        <w:pStyle w:val="Odstavekseznama"/>
        <w:numPr>
          <w:ilvl w:val="0"/>
          <w:numId w:val="1"/>
        </w:numPr>
        <w:jc w:val="center"/>
        <w:rPr>
          <w:b/>
        </w:rPr>
      </w:pPr>
      <w:r>
        <w:rPr>
          <w:b/>
        </w:rPr>
        <w:t>č</w:t>
      </w:r>
      <w:r w:rsidRPr="0055299E">
        <w:rPr>
          <w:b/>
        </w:rPr>
        <w:t>len</w:t>
      </w:r>
    </w:p>
    <w:p w:rsidR="0055299E" w:rsidRPr="0055299E" w:rsidRDefault="0055299E" w:rsidP="0055299E">
      <w:pPr>
        <w:pStyle w:val="Odstavekseznama"/>
        <w:jc w:val="center"/>
        <w:rPr>
          <w:b/>
        </w:rPr>
      </w:pPr>
      <w:r>
        <w:rPr>
          <w:b/>
        </w:rPr>
        <w:t>(</w:t>
      </w:r>
      <w:r w:rsidR="00035A38">
        <w:rPr>
          <w:b/>
        </w:rPr>
        <w:t>materialna sredstva in storitve</w:t>
      </w:r>
      <w:r>
        <w:rPr>
          <w:b/>
        </w:rPr>
        <w:t>)</w:t>
      </w:r>
    </w:p>
    <w:p w:rsidR="00731799" w:rsidRDefault="002A7E1D" w:rsidP="0055299E">
      <w:pPr>
        <w:jc w:val="both"/>
      </w:pPr>
      <w:r>
        <w:t>Združenje</w:t>
      </w:r>
      <w:r w:rsidR="00731799">
        <w:t xml:space="preserve"> p</w:t>
      </w:r>
      <w:r>
        <w:t>ri nabavi materialnih sredstev in</w:t>
      </w:r>
      <w:r w:rsidR="00731799">
        <w:t xml:space="preserve"> naročanju storitev postopa skrbno in odgovorno. </w:t>
      </w:r>
    </w:p>
    <w:p w:rsidR="002A7E1D" w:rsidRDefault="00731799" w:rsidP="0055299E">
      <w:pPr>
        <w:jc w:val="both"/>
      </w:pPr>
      <w:r>
        <w:t xml:space="preserve">Materialna sredstva, ki jih združenje </w:t>
      </w:r>
      <w:r w:rsidR="002A7E1D">
        <w:t xml:space="preserve">nujno </w:t>
      </w:r>
      <w:r>
        <w:t xml:space="preserve">potrebuje za opravljanje svoje dejavnosti, </w:t>
      </w:r>
      <w:r w:rsidR="00057339">
        <w:t>združenje</w:t>
      </w:r>
      <w:r>
        <w:t xml:space="preserve"> nabavlja glede na potrebe in v obsegu, ki </w:t>
      </w:r>
      <w:r w:rsidR="00B869B3">
        <w:t>zagotavlja</w:t>
      </w:r>
      <w:r>
        <w:t xml:space="preserve"> kvalitetno in nemoteno delovanje</w:t>
      </w:r>
      <w:r w:rsidR="00B869B3">
        <w:t xml:space="preserve"> združenja</w:t>
      </w:r>
      <w:r>
        <w:t xml:space="preserve">. </w:t>
      </w:r>
      <w:r w:rsidR="0000332C">
        <w:t>Nabave materiala</w:t>
      </w:r>
      <w:r w:rsidR="00543696">
        <w:t>, ki je potreben za redno poslovanje združenja in je manjše vrednosti (</w:t>
      </w:r>
      <w:r w:rsidR="0000332C">
        <w:t xml:space="preserve">npr. pisarniški material, </w:t>
      </w:r>
      <w:r w:rsidR="00955145">
        <w:t xml:space="preserve">tiskanje, </w:t>
      </w:r>
      <w:r w:rsidR="0000332C">
        <w:t>reprezentanca,…)</w:t>
      </w:r>
      <w:r w:rsidR="00853BC5">
        <w:t>,</w:t>
      </w:r>
      <w:r w:rsidR="0000332C">
        <w:t xml:space="preserve"> </w:t>
      </w:r>
      <w:r w:rsidR="00BF14A0">
        <w:t xml:space="preserve">združenje </w:t>
      </w:r>
      <w:r w:rsidR="0000332C">
        <w:t>izv</w:t>
      </w:r>
      <w:r w:rsidR="00543696">
        <w:t>aja</w:t>
      </w:r>
      <w:r w:rsidR="0000332C">
        <w:t xml:space="preserve"> pri katerem od ponudnikov na trgu. </w:t>
      </w:r>
      <w:r>
        <w:t xml:space="preserve">Pri </w:t>
      </w:r>
      <w:r w:rsidR="0000332C">
        <w:t>nabavah materiala večje vrednosti</w:t>
      </w:r>
      <w:r w:rsidR="00543696">
        <w:t xml:space="preserve"> </w:t>
      </w:r>
      <w:r w:rsidR="001845A1">
        <w:t xml:space="preserve">združenje </w:t>
      </w:r>
      <w:r w:rsidR="00853BC5">
        <w:t>izvede postopek izbire</w:t>
      </w:r>
      <w:r>
        <w:t xml:space="preserve"> </w:t>
      </w:r>
      <w:r w:rsidR="002A7E1D">
        <w:t>najustreznejše</w:t>
      </w:r>
      <w:r w:rsidR="00853BC5">
        <w:t>ga ponudnika</w:t>
      </w:r>
      <w:r>
        <w:t xml:space="preserve">, pri čemer upošteva </w:t>
      </w:r>
      <w:r w:rsidR="002A7E1D">
        <w:t>ponujeno ceno,</w:t>
      </w:r>
      <w:r>
        <w:t xml:space="preserve"> kvaliteto </w:t>
      </w:r>
      <w:r w:rsidR="00206964">
        <w:t>potrebnih sredstev,</w:t>
      </w:r>
      <w:r>
        <w:t xml:space="preserve"> </w:t>
      </w:r>
      <w:r w:rsidR="00206964">
        <w:t xml:space="preserve">morebitne </w:t>
      </w:r>
      <w:r>
        <w:t xml:space="preserve">pretekle izkušnje </w:t>
      </w:r>
      <w:r w:rsidR="00206964">
        <w:t xml:space="preserve">pri sodelovanju </w:t>
      </w:r>
      <w:r>
        <w:t>s posameznim dobaviteljem ali njegove reference</w:t>
      </w:r>
      <w:r w:rsidR="00206964">
        <w:t xml:space="preserve"> ter druge objektivne kriterije, ki so utemeljeni v posameznem primeru</w:t>
      </w:r>
      <w:r>
        <w:t xml:space="preserve">. </w:t>
      </w:r>
    </w:p>
    <w:p w:rsidR="00057339" w:rsidRDefault="002A7E1D" w:rsidP="0055299E">
      <w:pPr>
        <w:jc w:val="both"/>
      </w:pPr>
      <w:r>
        <w:t xml:space="preserve">Storitve, za katere je </w:t>
      </w:r>
      <w:r w:rsidR="00AC3955">
        <w:t xml:space="preserve">pri kolektivnem upravljanju pravic </w:t>
      </w:r>
      <w:r>
        <w:t xml:space="preserve">ali na splošno pri poslovanju pravnih oseb na trgu običajno, da jih izvajajo </w:t>
      </w:r>
      <w:r w:rsidR="00AC3955">
        <w:t>tretje osebe</w:t>
      </w:r>
      <w:r>
        <w:t xml:space="preserve">, združenje naroča pri </w:t>
      </w:r>
      <w:r w:rsidR="00AC3955">
        <w:t>tretjih osebah</w:t>
      </w:r>
      <w:r>
        <w:t>, s katerimi sklepa ustrezne pogodbe o izvajanju storitev. Enako velja v pri</w:t>
      </w:r>
      <w:r w:rsidR="00AC3955">
        <w:t xml:space="preserve">merih, ko je sklepanje pogodb s tretjimi osebami kot zunanjimi izvajalci </w:t>
      </w:r>
      <w:r>
        <w:t xml:space="preserve">stroškovno učinkovitejše za združenje ali ko združenje ne razpolaga s potrebnimi znanji, sredstvi ali kadri za izvajanje storitev, ki so za poslovanje združenja nujno potrebne. </w:t>
      </w:r>
      <w:r w:rsidR="00731799">
        <w:t>Storitve</w:t>
      </w:r>
      <w:r>
        <w:t xml:space="preserve"> </w:t>
      </w:r>
      <w:r w:rsidR="00AC3955">
        <w:t xml:space="preserve">in izvajalce </w:t>
      </w:r>
      <w:r>
        <w:t>združenje</w:t>
      </w:r>
      <w:r w:rsidR="00731799">
        <w:t xml:space="preserve"> izbira glede na </w:t>
      </w:r>
      <w:r>
        <w:t xml:space="preserve">nujne </w:t>
      </w:r>
      <w:r w:rsidR="00731799">
        <w:t xml:space="preserve">potrebe poslovanja združenja in ob skrbni presoji ustreznosti in kvalitete </w:t>
      </w:r>
      <w:r w:rsidR="00600F71">
        <w:t>izvajalcev</w:t>
      </w:r>
      <w:r w:rsidR="00731799">
        <w:t xml:space="preserve">. </w:t>
      </w:r>
    </w:p>
    <w:p w:rsidR="004B248A" w:rsidRDefault="004B248A" w:rsidP="0055299E">
      <w:pPr>
        <w:jc w:val="both"/>
      </w:pPr>
    </w:p>
    <w:p w:rsidR="00035A38" w:rsidRPr="00035A38" w:rsidRDefault="00035A38" w:rsidP="00035A38">
      <w:pPr>
        <w:pStyle w:val="Odstavekseznama"/>
        <w:numPr>
          <w:ilvl w:val="0"/>
          <w:numId w:val="1"/>
        </w:numPr>
        <w:jc w:val="center"/>
        <w:rPr>
          <w:b/>
        </w:rPr>
      </w:pPr>
      <w:r w:rsidRPr="00035A38">
        <w:rPr>
          <w:b/>
        </w:rPr>
        <w:t>člen</w:t>
      </w:r>
    </w:p>
    <w:p w:rsidR="00035A38" w:rsidRDefault="00035A38" w:rsidP="00035A38">
      <w:pPr>
        <w:pStyle w:val="Odstavekseznama"/>
        <w:jc w:val="center"/>
        <w:rPr>
          <w:b/>
        </w:rPr>
      </w:pPr>
      <w:r w:rsidRPr="00035A38">
        <w:rPr>
          <w:b/>
        </w:rPr>
        <w:t>(honorarji</w:t>
      </w:r>
      <w:r w:rsidR="00920C52">
        <w:rPr>
          <w:b/>
        </w:rPr>
        <w:t>,</w:t>
      </w:r>
      <w:r w:rsidR="004662BF">
        <w:rPr>
          <w:b/>
        </w:rPr>
        <w:t xml:space="preserve"> sejnine</w:t>
      </w:r>
      <w:r w:rsidR="00920C52">
        <w:rPr>
          <w:b/>
        </w:rPr>
        <w:t>, plače</w:t>
      </w:r>
      <w:r w:rsidRPr="00035A38">
        <w:rPr>
          <w:b/>
        </w:rPr>
        <w:t>)</w:t>
      </w:r>
    </w:p>
    <w:p w:rsidR="00035A38" w:rsidRDefault="00AD546B" w:rsidP="00035A38">
      <w:pPr>
        <w:jc w:val="both"/>
      </w:pPr>
      <w:r>
        <w:t>Poslovodja</w:t>
      </w:r>
      <w:r w:rsidR="00035A38">
        <w:t xml:space="preserve"> združenja s predsednikom nadzornega odbora</w:t>
      </w:r>
      <w:r>
        <w:t>, ki zastopa združenje, sklene</w:t>
      </w:r>
      <w:r w:rsidR="00035A38">
        <w:t xml:space="preserve"> pogodbo, v kateri je </w:t>
      </w:r>
      <w:r w:rsidR="00587112">
        <w:t xml:space="preserve">med drugim </w:t>
      </w:r>
      <w:r w:rsidR="00035A38">
        <w:t>opredeljeno plačilo za opravljanje dela za združenje. Pogodba se lahko sklene na osnovi delovnega razmerja ali pa kot pogodba civilnega prava (</w:t>
      </w:r>
      <w:r>
        <w:t xml:space="preserve">npr. </w:t>
      </w:r>
      <w:r w:rsidR="00035A38">
        <w:t xml:space="preserve">pogodba o poslovodenju). </w:t>
      </w:r>
      <w:r w:rsidR="00035A38">
        <w:lastRenderedPageBreak/>
        <w:t>Plačilo se določ</w:t>
      </w:r>
      <w:r w:rsidR="00F070DE">
        <w:t xml:space="preserve">i ob upoštevanju </w:t>
      </w:r>
      <w:r w:rsidR="00ED35C8">
        <w:t xml:space="preserve">obsega in zahtevnosti dela, </w:t>
      </w:r>
      <w:r w:rsidR="000E6443">
        <w:t xml:space="preserve">višine </w:t>
      </w:r>
      <w:r w:rsidR="00F070DE">
        <w:t>plačil</w:t>
      </w:r>
      <w:r w:rsidR="00ED35C8">
        <w:t>a</w:t>
      </w:r>
      <w:r w:rsidR="00F070DE">
        <w:t xml:space="preserve"> za primerljivo delo na trgu</w:t>
      </w:r>
      <w:r w:rsidR="00ED35C8">
        <w:t xml:space="preserve"> ter morebitnih drugih objektivnih </w:t>
      </w:r>
      <w:r w:rsidR="000E6443">
        <w:t>okoliščin</w:t>
      </w:r>
      <w:r w:rsidR="00ED35C8">
        <w:t>.</w:t>
      </w:r>
      <w:r w:rsidR="00035A38">
        <w:t xml:space="preserve"> </w:t>
      </w:r>
      <w:r w:rsidR="00587112">
        <w:t>Del plačila</w:t>
      </w:r>
      <w:r w:rsidR="00035A38">
        <w:t xml:space="preserve"> je lahko </w:t>
      </w:r>
      <w:r w:rsidR="00587112">
        <w:t>odvisen</w:t>
      </w:r>
      <w:r w:rsidR="00035A38">
        <w:t xml:space="preserve"> tudi od uspešnosti </w:t>
      </w:r>
      <w:r w:rsidR="00587112">
        <w:t>izvedenega dela</w:t>
      </w:r>
      <w:r w:rsidR="00035A38">
        <w:t xml:space="preserve"> (variabilni del plačila).</w:t>
      </w:r>
    </w:p>
    <w:p w:rsidR="007C74C3" w:rsidRDefault="00035A38" w:rsidP="007C74C3">
      <w:pPr>
        <w:jc w:val="both"/>
      </w:pPr>
      <w:r>
        <w:t xml:space="preserve">Člani nadzornega odbora so za </w:t>
      </w:r>
      <w:r w:rsidR="0029502F">
        <w:t xml:space="preserve">delo na sejah nadzornega odbora </w:t>
      </w:r>
      <w:r>
        <w:t xml:space="preserve">upravičeni do sejnine v višini </w:t>
      </w:r>
      <w:r w:rsidR="00262E06">
        <w:t>200,00 EUR</w:t>
      </w:r>
      <w:r w:rsidR="004662BF">
        <w:t xml:space="preserve"> bruto</w:t>
      </w:r>
      <w:r w:rsidR="00101BB3">
        <w:t xml:space="preserve"> za posamezno sejo</w:t>
      </w:r>
      <w:r w:rsidR="001E6889">
        <w:t>.</w:t>
      </w:r>
      <w:r w:rsidR="001E6889" w:rsidRPr="001E6889">
        <w:t xml:space="preserve"> </w:t>
      </w:r>
      <w:r w:rsidR="001E6889">
        <w:t>Sejnina za predsednika nadzornega odbora znaša 280,00 EUR</w:t>
      </w:r>
      <w:r>
        <w:t xml:space="preserve">. </w:t>
      </w:r>
      <w:r w:rsidR="004662BF">
        <w:t xml:space="preserve">Če je seja dopisna (po </w:t>
      </w:r>
      <w:r w:rsidR="00AD546B">
        <w:t>elektronski</w:t>
      </w:r>
      <w:r w:rsidR="004662BF">
        <w:t xml:space="preserve"> </w:t>
      </w:r>
      <w:r w:rsidR="00AD546B">
        <w:t>pošti</w:t>
      </w:r>
      <w:r w:rsidR="004662BF">
        <w:t xml:space="preserve">, preko telefonske konference ali drug primeren način), so člani </w:t>
      </w:r>
      <w:r w:rsidR="001E6889">
        <w:t xml:space="preserve">in predsednik </w:t>
      </w:r>
      <w:bookmarkStart w:id="0" w:name="_GoBack"/>
      <w:bookmarkEnd w:id="0"/>
      <w:r w:rsidR="004662BF">
        <w:t xml:space="preserve">nadzornega odbora upravičeni do ½ sejnine. Sejnine se izplačajo na podlagi zapisnika seje, ki ga predsednik nadzornega odbora predloži poslovodstvu združenja in iz katerega izhaja prisotnost članov nadzornega odbora.  </w:t>
      </w:r>
    </w:p>
    <w:p w:rsidR="00AD66B4" w:rsidRDefault="00435D1E" w:rsidP="00920C52">
      <w:pPr>
        <w:jc w:val="both"/>
      </w:pPr>
      <w:r>
        <w:t xml:space="preserve">Če pristojni organ združenja </w:t>
      </w:r>
      <w:r w:rsidR="00AD66B4">
        <w:t>za</w:t>
      </w:r>
      <w:r>
        <w:t xml:space="preserve"> iz</w:t>
      </w:r>
      <w:r w:rsidR="00115550">
        <w:t>vedb</w:t>
      </w:r>
      <w:r w:rsidR="00AD66B4">
        <w:t>o</w:t>
      </w:r>
      <w:r>
        <w:t xml:space="preserve"> posameznih projektov ali nalog imenuje komisijo ali drugo delovno telo (delovno telo), so člani takšnega delovnega telesa za svoje delo upravičeni do </w:t>
      </w:r>
      <w:r w:rsidR="004662BF">
        <w:t>plačila honorarja v višini</w:t>
      </w:r>
      <w:r>
        <w:t xml:space="preserve">, ki ga opredeli organ združenja, ki je delovno telo imenoval, bodisi s sklepom o imenovanju ali pa v pogodbi s člani delovnega telesa. </w:t>
      </w:r>
      <w:r w:rsidR="00AD66B4">
        <w:t>Poslovodja združenja in morebitne druge osebe, zaposlene v združenju</w:t>
      </w:r>
      <w:r w:rsidR="00494D63">
        <w:t>,</w:t>
      </w:r>
      <w:r w:rsidR="00AD66B4">
        <w:t xml:space="preserve"> delo v delovnih telesih opravljajo</w:t>
      </w:r>
      <w:r w:rsidR="00494D63">
        <w:t xml:space="preserve"> v okviru svoje funkcije oz.</w:t>
      </w:r>
      <w:r w:rsidR="00AD66B4">
        <w:t xml:space="preserve"> delovnih obveznosti</w:t>
      </w:r>
      <w:r w:rsidR="00494D63">
        <w:t>.</w:t>
      </w:r>
    </w:p>
    <w:p w:rsidR="00077413" w:rsidRDefault="00077413" w:rsidP="00035A38">
      <w:pPr>
        <w:jc w:val="both"/>
      </w:pPr>
      <w:r>
        <w:t>Združenje lahko zaposli osebe za opravljanje dela, k</w:t>
      </w:r>
      <w:r w:rsidR="002205B0">
        <w:t>i ga je primerno in upravičeno izvajati</w:t>
      </w:r>
      <w:r>
        <w:t xml:space="preserve"> z osebami</w:t>
      </w:r>
      <w:r w:rsidR="007C1BB7">
        <w:t xml:space="preserve"> v delovnem razmerju</w:t>
      </w:r>
      <w:r>
        <w:t xml:space="preserve">. </w:t>
      </w:r>
      <w:r w:rsidR="00D5575C">
        <w:t>Pri oblikovanju</w:t>
      </w:r>
      <w:r w:rsidR="00205295">
        <w:t xml:space="preserve"> finančn</w:t>
      </w:r>
      <w:r w:rsidR="00D5575C">
        <w:t>ih</w:t>
      </w:r>
      <w:r w:rsidR="00205295">
        <w:t xml:space="preserve"> pogoje</w:t>
      </w:r>
      <w:r w:rsidR="00D5575C">
        <w:t>v</w:t>
      </w:r>
      <w:r w:rsidR="00205295">
        <w:t xml:space="preserve"> zaposlitve </w:t>
      </w:r>
      <w:r w:rsidR="002205B0">
        <w:t xml:space="preserve">združenje </w:t>
      </w:r>
      <w:r w:rsidR="00D5575C">
        <w:t xml:space="preserve">upošteva </w:t>
      </w:r>
      <w:r w:rsidR="004121BC">
        <w:t xml:space="preserve">obseg in zahtevnost dela, </w:t>
      </w:r>
      <w:r w:rsidR="00D5575C">
        <w:t>plačilo za primerljivo delo na trgu</w:t>
      </w:r>
      <w:r w:rsidR="00EE7EF1">
        <w:t>, kolikor so takšni podatki dostopni</w:t>
      </w:r>
      <w:r w:rsidR="004121BC">
        <w:t>, ter morebitne druge objektivne okoliščine</w:t>
      </w:r>
      <w:r>
        <w:t xml:space="preserve">. Poslovodstvo združenja izvede javno objavo prostega delovnega mesta in izmed prijavljenih kandidatov na podlagi presoje njihovih referenc izbere vsaj </w:t>
      </w:r>
      <w:r w:rsidR="00D9432B">
        <w:t>tri najustreznejše</w:t>
      </w:r>
      <w:r>
        <w:t xml:space="preserve"> kandida</w:t>
      </w:r>
      <w:r w:rsidR="00D9432B">
        <w:t>te</w:t>
      </w:r>
      <w:r>
        <w:t xml:space="preserve"> (razen, če je bilo </w:t>
      </w:r>
      <w:r w:rsidR="007C1BB7">
        <w:t xml:space="preserve">število </w:t>
      </w:r>
      <w:r>
        <w:t>prijavljenih kandidatov</w:t>
      </w:r>
      <w:r w:rsidR="007C1BB7">
        <w:t xml:space="preserve"> manjše od </w:t>
      </w:r>
      <w:r w:rsidR="00D9432B">
        <w:t>tri</w:t>
      </w:r>
      <w:r>
        <w:t>), s katerimi opravi razgovore. Poslovodstvo poleg razgovora lahko izvede tudi druge oblike preverjanja ustreznosti kandidatov (npr. preverjanje znanja, strokovna ocena kandidatov</w:t>
      </w:r>
      <w:r w:rsidR="001B6F8A">
        <w:t xml:space="preserve">, psihološka ocena primernosti kandidatov,…). </w:t>
      </w:r>
      <w:r w:rsidR="00D9432B">
        <w:t xml:space="preserve">Kadar je to potrebno, lahko združenje angažira osebe za delo preko študentskih napotnic </w:t>
      </w:r>
      <w:r w:rsidR="00AF258D">
        <w:t>in drugih primerljivih oblik dela.</w:t>
      </w:r>
    </w:p>
    <w:p w:rsidR="00D92EA6" w:rsidRDefault="00596B34" w:rsidP="00596B34">
      <w:pPr>
        <w:jc w:val="both"/>
      </w:pPr>
      <w:r>
        <w:t>P</w:t>
      </w:r>
      <w:r w:rsidR="001E2954">
        <w:t xml:space="preserve">otni stroški, </w:t>
      </w:r>
      <w:r>
        <w:t xml:space="preserve">dnevnice, prenočevanje ipd. se poslovodjem, članom nadzornega odbora, članom delovnih teles in drugim osebam iz tega člena priznavajo v višini, kot jo določa </w:t>
      </w:r>
      <w:r w:rsidRPr="00596B34">
        <w:t>Uredba o davčni obravnavi povračil stroškov in drugih dohodkov iz delovnega razmerja (Uradni list RS, št. 140/06 in 76/08)</w:t>
      </w:r>
      <w:r>
        <w:t xml:space="preserve"> oz. predpis, ki bi navedeno uredbo nadomestil</w:t>
      </w:r>
      <w:r w:rsidR="002205B0">
        <w:t xml:space="preserve">, razen če ni v pogodbi </w:t>
      </w:r>
      <w:r w:rsidR="00EE7EF1">
        <w:t xml:space="preserve">z upravičencem </w:t>
      </w:r>
      <w:r w:rsidR="002205B0">
        <w:t>določeno drugače</w:t>
      </w:r>
      <w:r>
        <w:t xml:space="preserve">. </w:t>
      </w:r>
    </w:p>
    <w:p w:rsidR="00D92EA6" w:rsidRDefault="00D92EA6" w:rsidP="00035A38">
      <w:pPr>
        <w:pStyle w:val="Odstavekseznama"/>
        <w:jc w:val="center"/>
      </w:pPr>
    </w:p>
    <w:p w:rsidR="002A7E1D" w:rsidRPr="002A7E1D" w:rsidRDefault="002A7E1D" w:rsidP="002A7E1D">
      <w:pPr>
        <w:pStyle w:val="Odstavekseznama"/>
        <w:numPr>
          <w:ilvl w:val="0"/>
          <w:numId w:val="1"/>
        </w:numPr>
        <w:jc w:val="center"/>
        <w:rPr>
          <w:b/>
        </w:rPr>
      </w:pPr>
      <w:r w:rsidRPr="002A7E1D">
        <w:rPr>
          <w:b/>
        </w:rPr>
        <w:t>člen</w:t>
      </w:r>
    </w:p>
    <w:p w:rsidR="002A7E1D" w:rsidRPr="002A7E1D" w:rsidRDefault="002A7E1D" w:rsidP="002A7E1D">
      <w:pPr>
        <w:pStyle w:val="Odstavekseznama"/>
        <w:jc w:val="center"/>
        <w:rPr>
          <w:b/>
        </w:rPr>
      </w:pPr>
      <w:r w:rsidRPr="002A7E1D">
        <w:rPr>
          <w:b/>
        </w:rPr>
        <w:t>(finančni načrt in sklep skupščine o najvišjem dovoljene</w:t>
      </w:r>
      <w:r w:rsidR="00441883">
        <w:rPr>
          <w:b/>
        </w:rPr>
        <w:t>m</w:t>
      </w:r>
      <w:r w:rsidRPr="002A7E1D">
        <w:rPr>
          <w:b/>
        </w:rPr>
        <w:t xml:space="preserve"> odstotku stroškov poslovanja)</w:t>
      </w:r>
    </w:p>
    <w:p w:rsidR="002A7E1D" w:rsidRDefault="002A7E1D" w:rsidP="0055299E">
      <w:pPr>
        <w:jc w:val="both"/>
      </w:pPr>
      <w:r>
        <w:t xml:space="preserve">Združenje vsakoletno v finančnem načrtu oceni predvidene stroške poslovanja združenja v letu, na katerega se finančni načrt nanaša. Skupščina s sprejemom finančnega načrta in določitvijo najvišjega dovoljenega odstotka stroškov poslovanja glede na zbrane avtorske honorarje in prihodke, pridobljene iz bančnih depozitov, </w:t>
      </w:r>
      <w:r w:rsidR="00B5690E">
        <w:t>opredeli višino stroškov za delovanje združenja za zadevno poslovno leto. Združenje mora slediti finančnemu načrtu in sklepu skupščine. Če se pred ali med letom izkaže, da načrta ne bo mogoče izvršiti, poslovodstvo ali nadzorni odbor predlaga skupščini sprejetje rebalansa finančnega načrta in spremembo sklepa, s katerim se določi nov najvišji dovoljeni</w:t>
      </w:r>
      <w:r w:rsidR="00B5690E" w:rsidRPr="00B5690E">
        <w:t xml:space="preserve"> odstot</w:t>
      </w:r>
      <w:r w:rsidR="00B5690E">
        <w:t>e</w:t>
      </w:r>
      <w:r w:rsidR="00B5690E" w:rsidRPr="00B5690E">
        <w:t>k stroškov poslovanja glede na zbrane avtorske honorarje in prihodke, pridobljene iz bančnih depozitov</w:t>
      </w:r>
      <w:r w:rsidR="00B5690E">
        <w:t>.</w:t>
      </w:r>
    </w:p>
    <w:p w:rsidR="002A7E1D" w:rsidRDefault="002A7E1D" w:rsidP="0055299E">
      <w:pPr>
        <w:jc w:val="both"/>
      </w:pPr>
    </w:p>
    <w:p w:rsidR="008D15B3" w:rsidRPr="008D15B3" w:rsidRDefault="008D15B3" w:rsidP="008D15B3">
      <w:pPr>
        <w:pStyle w:val="Odstavekseznama"/>
        <w:numPr>
          <w:ilvl w:val="0"/>
          <w:numId w:val="1"/>
        </w:numPr>
        <w:jc w:val="center"/>
        <w:rPr>
          <w:b/>
        </w:rPr>
      </w:pPr>
      <w:r w:rsidRPr="008D15B3">
        <w:rPr>
          <w:b/>
        </w:rPr>
        <w:lastRenderedPageBreak/>
        <w:t>člen</w:t>
      </w:r>
    </w:p>
    <w:p w:rsidR="008D15B3" w:rsidRDefault="008D15B3" w:rsidP="008D15B3">
      <w:pPr>
        <w:pStyle w:val="Odstavekseznama"/>
        <w:jc w:val="center"/>
        <w:rPr>
          <w:b/>
        </w:rPr>
      </w:pPr>
      <w:r w:rsidRPr="008D15B3">
        <w:rPr>
          <w:b/>
        </w:rPr>
        <w:t>(zunanji izvajalec za izvajanje administrativno tehničnih nalog)</w:t>
      </w:r>
    </w:p>
    <w:p w:rsidR="00CB46FC" w:rsidRDefault="008D15B3" w:rsidP="008D15B3">
      <w:pPr>
        <w:jc w:val="both"/>
      </w:pPr>
      <w:r>
        <w:t>Zunanji izvajalec za izvajanje administrativno tehničnih nalog v zvezi s kolektivnim upravljanjem  (zunanji izvajalec) je enako kot poslovodstvo združenja in njegovi zaposleni dolžan upoštevati in izvrševati ta pravila v primerih, ko izvaja storitve po pogodbi, ki ureja izvajanje administrativno tehnične naloge</w:t>
      </w:r>
      <w:r w:rsidR="00C127DA">
        <w:t xml:space="preserve">. </w:t>
      </w:r>
      <w:r w:rsidR="0039374F">
        <w:t>P</w:t>
      </w:r>
      <w:r w:rsidR="00C127DA">
        <w:t xml:space="preserve">oslovodstvo zunanjega izvajalca </w:t>
      </w:r>
      <w:r w:rsidR="0039374F">
        <w:t xml:space="preserve">opozori </w:t>
      </w:r>
      <w:r w:rsidR="0039374F">
        <w:t>in zahteva odpravo pomanjkljivosti</w:t>
      </w:r>
      <w:r w:rsidR="0039374F">
        <w:t>, če ugotovi, da ne upošteva teh pravil.</w:t>
      </w:r>
      <w:r w:rsidR="009D7AD3">
        <w:t xml:space="preserve"> </w:t>
      </w:r>
      <w:r w:rsidR="0039374F">
        <w:t>Č</w:t>
      </w:r>
      <w:r w:rsidR="009D7AD3">
        <w:t>e</w:t>
      </w:r>
      <w:r w:rsidR="00C127DA">
        <w:t xml:space="preserve"> </w:t>
      </w:r>
      <w:r w:rsidR="009D7AD3">
        <w:t>zunanji izvajalec ne odpravi pomanjkljivosti</w:t>
      </w:r>
      <w:r w:rsidR="00FA0568">
        <w:t xml:space="preserve"> v danem roku</w:t>
      </w:r>
      <w:r w:rsidR="00C127DA">
        <w:t xml:space="preserve">, </w:t>
      </w:r>
      <w:r w:rsidR="0039374F">
        <w:t>poslovodstvo o tem poroča</w:t>
      </w:r>
      <w:r w:rsidR="00890510">
        <w:t xml:space="preserve"> nadzornemu odboru združenja ter </w:t>
      </w:r>
      <w:r w:rsidR="00C127DA">
        <w:t>zač</w:t>
      </w:r>
      <w:r w:rsidR="0039374F">
        <w:t>ne</w:t>
      </w:r>
      <w:r w:rsidR="00C127DA">
        <w:t xml:space="preserve"> s posto</w:t>
      </w:r>
      <w:r w:rsidR="009D7AD3">
        <w:t>pkom</w:t>
      </w:r>
      <w:r w:rsidR="00C127DA">
        <w:t xml:space="preserve"> za p</w:t>
      </w:r>
      <w:r w:rsidR="00441883">
        <w:t>rekinitev sodelovanja</w:t>
      </w:r>
      <w:r w:rsidR="00433BB3">
        <w:t xml:space="preserve"> z zunanjim izvajalcem</w:t>
      </w:r>
      <w:r w:rsidR="00441883">
        <w:t>, razen če</w:t>
      </w:r>
      <w:r w:rsidR="00CB46FC">
        <w:t xml:space="preserve"> </w:t>
      </w:r>
      <w:r w:rsidR="00C127DA">
        <w:t xml:space="preserve">presodi, da </w:t>
      </w:r>
      <w:r w:rsidR="00FA0568">
        <w:t>prekinitev sodelovanja ne bi bila v korist združenja</w:t>
      </w:r>
      <w:r w:rsidR="0039374F">
        <w:t xml:space="preserve"> in imetnikov pravic</w:t>
      </w:r>
      <w:r w:rsidR="00FA0568">
        <w:t xml:space="preserve">. </w:t>
      </w:r>
    </w:p>
    <w:p w:rsidR="008D15B3" w:rsidRPr="008D15B3" w:rsidRDefault="008D15B3" w:rsidP="008D15B3">
      <w:pPr>
        <w:jc w:val="both"/>
      </w:pPr>
      <w:r>
        <w:t xml:space="preserve"> </w:t>
      </w:r>
    </w:p>
    <w:p w:rsidR="008D15B3" w:rsidRDefault="001031C2" w:rsidP="001031C2">
      <w:pPr>
        <w:pStyle w:val="Odstavekseznama"/>
        <w:numPr>
          <w:ilvl w:val="0"/>
          <w:numId w:val="1"/>
        </w:numPr>
        <w:jc w:val="center"/>
        <w:rPr>
          <w:b/>
        </w:rPr>
      </w:pPr>
      <w:r>
        <w:rPr>
          <w:b/>
        </w:rPr>
        <w:t xml:space="preserve">člen </w:t>
      </w:r>
    </w:p>
    <w:p w:rsidR="001031C2" w:rsidRDefault="001031C2" w:rsidP="001031C2">
      <w:pPr>
        <w:pStyle w:val="Odstavekseznama"/>
        <w:jc w:val="center"/>
        <w:rPr>
          <w:b/>
        </w:rPr>
      </w:pPr>
      <w:r>
        <w:rPr>
          <w:b/>
        </w:rPr>
        <w:t>(vodenje evidenc o stroških poslovanja združenja)</w:t>
      </w:r>
    </w:p>
    <w:p w:rsidR="008D15B3" w:rsidRDefault="008D15B3" w:rsidP="008D15B3">
      <w:pPr>
        <w:pStyle w:val="Odstavekseznama"/>
        <w:jc w:val="center"/>
      </w:pPr>
    </w:p>
    <w:p w:rsidR="007D1213" w:rsidRDefault="007D1213" w:rsidP="000042FB">
      <w:pPr>
        <w:jc w:val="both"/>
      </w:pPr>
      <w:r>
        <w:t xml:space="preserve">Združenje </w:t>
      </w:r>
      <w:r w:rsidR="00977B05">
        <w:t>razporeja stroške poslovanja</w:t>
      </w:r>
      <w:r>
        <w:t xml:space="preserve"> glede na vrsto avtorske pravice in vrsto uporabe, pri čemer </w:t>
      </w:r>
      <w:r w:rsidR="00020F09">
        <w:t>razčleni</w:t>
      </w:r>
      <w:r>
        <w:t xml:space="preserve"> stroške </w:t>
      </w:r>
      <w:r w:rsidR="002555B1">
        <w:t xml:space="preserve">najmanj </w:t>
      </w:r>
      <w:r>
        <w:t xml:space="preserve">na </w:t>
      </w:r>
      <w:r w:rsidRPr="008F5505">
        <w:t>temeljna stroškovna mesta</w:t>
      </w:r>
      <w:r>
        <w:t xml:space="preserve"> posameznih </w:t>
      </w:r>
      <w:r w:rsidR="00020F09">
        <w:t xml:space="preserve">oz. ločenih </w:t>
      </w:r>
      <w:r>
        <w:t xml:space="preserve">delitvenih mas, </w:t>
      </w:r>
      <w:r w:rsidR="00020F09">
        <w:t>ki se oblikujejo v skladu s Pravili</w:t>
      </w:r>
      <w:r>
        <w:t xml:space="preserve"> o delitvi zbranih avtorskih honorarjev</w:t>
      </w:r>
      <w:r w:rsidR="00020F09">
        <w:t xml:space="preserve">. </w:t>
      </w:r>
    </w:p>
    <w:p w:rsidR="000042FB" w:rsidRDefault="007D1213" w:rsidP="000042FB">
      <w:pPr>
        <w:jc w:val="both"/>
      </w:pPr>
      <w:r>
        <w:t xml:space="preserve">Poleg temeljnih stroškovnih mest </w:t>
      </w:r>
      <w:r w:rsidR="000042FB">
        <w:t>oblikuje združenje</w:t>
      </w:r>
      <w:r>
        <w:t xml:space="preserve"> </w:t>
      </w:r>
      <w:r w:rsidRPr="000042FB">
        <w:t>splošno stroškovno mesto,</w:t>
      </w:r>
      <w:r>
        <w:t xml:space="preserve"> ki </w:t>
      </w:r>
      <w:r w:rsidR="000042FB">
        <w:t>zajema</w:t>
      </w:r>
      <w:r>
        <w:t xml:space="preserve"> tiste stroške, ki jih ni mogoče neposredno pripisati </w:t>
      </w:r>
      <w:r w:rsidR="00977B05">
        <w:t xml:space="preserve">upravljanju s pravicami pri </w:t>
      </w:r>
      <w:r>
        <w:t>posamezni delitveni masi. Ti stroški so: plače poslovodstva</w:t>
      </w:r>
      <w:r w:rsidR="000042FB">
        <w:t xml:space="preserve"> in </w:t>
      </w:r>
      <w:r w:rsidR="00CB46FC">
        <w:t xml:space="preserve">morebitnih </w:t>
      </w:r>
      <w:r w:rsidR="000042FB">
        <w:t>zaposlenih</w:t>
      </w:r>
      <w:r>
        <w:t xml:space="preserve">, sejnine članov </w:t>
      </w:r>
      <w:r w:rsidR="000042FB">
        <w:t>nadzornega odbora</w:t>
      </w:r>
      <w:r>
        <w:t xml:space="preserve"> in drugih </w:t>
      </w:r>
      <w:r w:rsidR="00977B05">
        <w:t>delovnih teles združenja</w:t>
      </w:r>
      <w:r>
        <w:t>, amortizacija, strošek najemnine,</w:t>
      </w:r>
      <w:r w:rsidR="000042FB">
        <w:t xml:space="preserve"> idr. </w:t>
      </w:r>
    </w:p>
    <w:p w:rsidR="007D1213" w:rsidRDefault="007D1213" w:rsidP="000042FB">
      <w:pPr>
        <w:jc w:val="both"/>
      </w:pPr>
      <w:r w:rsidRPr="000042FB">
        <w:t xml:space="preserve">Temeljnim stroškovnim mestom </w:t>
      </w:r>
      <w:r w:rsidR="00CB46FC">
        <w:t>se neposredno pripišejo</w:t>
      </w:r>
      <w:r>
        <w:t xml:space="preserve"> tisti stroški materiala, storitev, in drugi stroški, ki jih je mogoče neposredno pripisati </w:t>
      </w:r>
      <w:r w:rsidR="000042FB">
        <w:t xml:space="preserve">upravljanju </w:t>
      </w:r>
      <w:r w:rsidR="00845DD9">
        <w:t>pravic v povezavi s posamezno delitveno maso</w:t>
      </w:r>
      <w:r>
        <w:t xml:space="preserve">. </w:t>
      </w:r>
    </w:p>
    <w:p w:rsidR="00F4057B" w:rsidRDefault="00977B05" w:rsidP="00CB46FC">
      <w:pPr>
        <w:jc w:val="both"/>
      </w:pPr>
      <w:r>
        <w:t xml:space="preserve">Stroški, ki jih ni mogoče neposredno pripisati upravljanju pravic v zvezi s katero od posameznih delitvenih mas, so splošni stroški. </w:t>
      </w:r>
      <w:r w:rsidR="007D1213" w:rsidRPr="000042FB">
        <w:t xml:space="preserve">Splošni </w:t>
      </w:r>
      <w:r w:rsidR="007D1213" w:rsidRPr="00641085">
        <w:t xml:space="preserve">stroški </w:t>
      </w:r>
      <w:r w:rsidR="000042FB" w:rsidRPr="00641085">
        <w:t xml:space="preserve">se </w:t>
      </w:r>
      <w:r w:rsidR="001E0763" w:rsidRPr="00641085">
        <w:t>pripišejo temeljnim stroškovnim mestom</w:t>
      </w:r>
      <w:r w:rsidR="000042FB" w:rsidRPr="00641085">
        <w:t xml:space="preserve">, in sicer </w:t>
      </w:r>
      <w:r w:rsidR="00475BC1" w:rsidRPr="00641085">
        <w:t xml:space="preserve">glede na </w:t>
      </w:r>
      <w:r w:rsidR="00CB5F80" w:rsidRPr="00641085">
        <w:t xml:space="preserve">delež, ki ga </w:t>
      </w:r>
      <w:r w:rsidR="003D6F36" w:rsidRPr="00641085">
        <w:t xml:space="preserve">predstavljajo </w:t>
      </w:r>
      <w:r w:rsidR="00641085">
        <w:t xml:space="preserve">sredstva, zbrana </w:t>
      </w:r>
      <w:r w:rsidR="00CB5F80" w:rsidRPr="00641085">
        <w:t>z upravljanj</w:t>
      </w:r>
      <w:r w:rsidR="00641085">
        <w:t>em</w:t>
      </w:r>
      <w:r w:rsidR="00475BC1" w:rsidRPr="00641085">
        <w:t xml:space="preserve"> </w:t>
      </w:r>
      <w:r w:rsidR="001E0763" w:rsidRPr="00641085">
        <w:t xml:space="preserve">pravic v povezavi s </w:t>
      </w:r>
      <w:r w:rsidR="00641085" w:rsidRPr="00641085">
        <w:t>posameznim temeljnim</w:t>
      </w:r>
      <w:r w:rsidR="003D6F36" w:rsidRPr="00641085">
        <w:t xml:space="preserve"> stroškovnim mestom</w:t>
      </w:r>
      <w:r w:rsidR="00CB5F80" w:rsidRPr="00641085">
        <w:t>, v vseh zbranih sredstvih združenja</w:t>
      </w:r>
      <w:r w:rsidR="00641085">
        <w:t xml:space="preserve"> iz naslova upravljanja pravic</w:t>
      </w:r>
      <w:r w:rsidR="00BF6928">
        <w:t xml:space="preserve"> in morebitnih drugih prihodkov združenja</w:t>
      </w:r>
      <w:r w:rsidR="00641085">
        <w:t>.</w:t>
      </w:r>
      <w:r w:rsidR="00641085" w:rsidRPr="00641085">
        <w:t xml:space="preserve"> </w:t>
      </w:r>
    </w:p>
    <w:p w:rsidR="00F4057B" w:rsidRDefault="00F4057B" w:rsidP="005A5C50">
      <w:pPr>
        <w:jc w:val="both"/>
      </w:pPr>
      <w:r>
        <w:t xml:space="preserve">V primeru dvoma </w:t>
      </w:r>
      <w:r w:rsidR="008237BA">
        <w:t xml:space="preserve">ali nejasnosti </w:t>
      </w:r>
      <w:r>
        <w:t>se stroški opredelijo kot splošni stroški.</w:t>
      </w:r>
    </w:p>
    <w:p w:rsidR="001E7536" w:rsidRDefault="002555B1" w:rsidP="005A5C50">
      <w:pPr>
        <w:jc w:val="both"/>
      </w:pPr>
      <w:r>
        <w:t xml:space="preserve">Če združenje prihodke pridobiva tudi iz drugih virov (npr. iz lastnih sredstev), se </w:t>
      </w:r>
      <w:r w:rsidR="00BF6928">
        <w:t xml:space="preserve">za stroške iz naslova tovrstne dejavnosti oblikujejo </w:t>
      </w:r>
      <w:r>
        <w:t>temeljna stroškovna mesta</w:t>
      </w:r>
      <w:r w:rsidR="00BF6928">
        <w:t xml:space="preserve">, prav tako </w:t>
      </w:r>
      <w:r w:rsidR="00F4057B">
        <w:t xml:space="preserve">na </w:t>
      </w:r>
      <w:r w:rsidR="00BF6928">
        <w:t>tovrstn</w:t>
      </w:r>
      <w:r w:rsidR="00F4057B">
        <w:t>e</w:t>
      </w:r>
      <w:r w:rsidR="00BF6928">
        <w:t xml:space="preserve"> </w:t>
      </w:r>
      <w:r w:rsidR="00F4057B">
        <w:t>prihodke odpade sorazmerni delež splošnih stroškov.</w:t>
      </w:r>
      <w:r>
        <w:t xml:space="preserve"> </w:t>
      </w:r>
    </w:p>
    <w:p w:rsidR="001E7536" w:rsidRPr="00CB5F80" w:rsidRDefault="001E7536" w:rsidP="005A5C50">
      <w:pPr>
        <w:jc w:val="both"/>
      </w:pPr>
      <w:r w:rsidRPr="00CB5F80">
        <w:t>Stroški , ki se nanašajo na namenski sklad, bremenijo namenski sklad, na katerega se nanašajo, skupni stroški namenskih skladov pa bremenijo vse namenske sklade v deležu, ki je enak deležu sredstev posameznega sklada glede na sredstva vseh skladov.</w:t>
      </w:r>
      <w:r>
        <w:t xml:space="preserve"> Navedeno smiselno velja tudi za rezervirana sredstva.</w:t>
      </w:r>
    </w:p>
    <w:p w:rsidR="007D1213" w:rsidRDefault="00F4057B" w:rsidP="00F4057B">
      <w:pPr>
        <w:jc w:val="both"/>
      </w:pPr>
      <w:r>
        <w:t>Združenje ob upoštevanju</w:t>
      </w:r>
      <w:r w:rsidR="007D1213">
        <w:t xml:space="preserve"> zahtev 41. člena ZKUASP v</w:t>
      </w:r>
      <w:r w:rsidR="005A5C50">
        <w:t xml:space="preserve"> svojem računovodstvu zagotovi</w:t>
      </w:r>
      <w:r w:rsidR="007D1213">
        <w:t xml:space="preserve"> razčlembo stroškov vsaj na:</w:t>
      </w:r>
    </w:p>
    <w:p w:rsidR="007D1213" w:rsidRPr="00F4057B" w:rsidRDefault="007D1213" w:rsidP="007D1213">
      <w:pPr>
        <w:pStyle w:val="Odstavekseznama"/>
        <w:numPr>
          <w:ilvl w:val="0"/>
          <w:numId w:val="3"/>
        </w:numPr>
      </w:pPr>
      <w:r w:rsidRPr="00F4057B">
        <w:t>stroške, povezane z zbiranjem avtorskih honorarjev in nadomestil,</w:t>
      </w:r>
    </w:p>
    <w:p w:rsidR="007D1213" w:rsidRPr="00F4057B" w:rsidRDefault="007D1213" w:rsidP="007D1213">
      <w:pPr>
        <w:pStyle w:val="Odstavekseznama"/>
        <w:numPr>
          <w:ilvl w:val="0"/>
          <w:numId w:val="3"/>
        </w:numPr>
      </w:pPr>
      <w:r w:rsidRPr="00F4057B">
        <w:t>stroške, povezane z delitvijo avtorskih honorarjev in nadomestil,</w:t>
      </w:r>
    </w:p>
    <w:p w:rsidR="007D1213" w:rsidRDefault="007D1213" w:rsidP="007D1213">
      <w:pPr>
        <w:pStyle w:val="Odstavekseznama"/>
        <w:numPr>
          <w:ilvl w:val="0"/>
          <w:numId w:val="3"/>
        </w:numPr>
      </w:pPr>
      <w:r>
        <w:lastRenderedPageBreak/>
        <w:t>odvetniške stroške,</w:t>
      </w:r>
    </w:p>
    <w:p w:rsidR="007D1213" w:rsidRDefault="007D1213" w:rsidP="007D1213">
      <w:pPr>
        <w:pStyle w:val="Odstavekseznama"/>
        <w:numPr>
          <w:ilvl w:val="0"/>
          <w:numId w:val="3"/>
        </w:numPr>
      </w:pPr>
      <w:r>
        <w:t>stroške informacijske tehnologije,</w:t>
      </w:r>
    </w:p>
    <w:p w:rsidR="007D1213" w:rsidRDefault="007D1213" w:rsidP="007D1213">
      <w:pPr>
        <w:pStyle w:val="Odstavekseznama"/>
        <w:numPr>
          <w:ilvl w:val="0"/>
          <w:numId w:val="3"/>
        </w:numPr>
      </w:pPr>
      <w:r>
        <w:t>stroške dela,</w:t>
      </w:r>
    </w:p>
    <w:p w:rsidR="007D1213" w:rsidRDefault="007D1213" w:rsidP="007D1213">
      <w:pPr>
        <w:pStyle w:val="Odstavekseznama"/>
        <w:numPr>
          <w:ilvl w:val="0"/>
          <w:numId w:val="3"/>
        </w:numPr>
      </w:pPr>
      <w:r>
        <w:t>stroške zunanjih izvajalcev in</w:t>
      </w:r>
    </w:p>
    <w:p w:rsidR="007D1213" w:rsidRDefault="007D1213" w:rsidP="007D1213">
      <w:pPr>
        <w:pStyle w:val="Odstavekseznama"/>
        <w:numPr>
          <w:ilvl w:val="0"/>
          <w:numId w:val="3"/>
        </w:numPr>
      </w:pPr>
      <w:r>
        <w:t xml:space="preserve">druge stroške poslovanja kolektivne organizacije. </w:t>
      </w:r>
    </w:p>
    <w:p w:rsidR="001031C2" w:rsidRDefault="001031C2" w:rsidP="008D15B3">
      <w:pPr>
        <w:pStyle w:val="Odstavekseznama"/>
        <w:jc w:val="center"/>
      </w:pPr>
    </w:p>
    <w:p w:rsidR="001031C2" w:rsidRDefault="001031C2" w:rsidP="008D15B3">
      <w:pPr>
        <w:pStyle w:val="Odstavekseznama"/>
        <w:jc w:val="center"/>
      </w:pPr>
    </w:p>
    <w:p w:rsidR="002A7E1D" w:rsidRPr="002A7E1D" w:rsidRDefault="002A7E1D" w:rsidP="002A7E1D">
      <w:pPr>
        <w:pStyle w:val="Odstavekseznama"/>
        <w:numPr>
          <w:ilvl w:val="0"/>
          <w:numId w:val="1"/>
        </w:numPr>
        <w:jc w:val="center"/>
        <w:rPr>
          <w:b/>
        </w:rPr>
      </w:pPr>
      <w:r w:rsidRPr="002A7E1D">
        <w:rPr>
          <w:b/>
        </w:rPr>
        <w:t>člen</w:t>
      </w:r>
    </w:p>
    <w:p w:rsidR="002A7E1D" w:rsidRPr="002A7E1D" w:rsidRDefault="002A7E1D" w:rsidP="002A7E1D">
      <w:pPr>
        <w:pStyle w:val="Odstavekseznama"/>
        <w:jc w:val="center"/>
        <w:rPr>
          <w:b/>
        </w:rPr>
      </w:pPr>
      <w:r w:rsidRPr="002A7E1D">
        <w:rPr>
          <w:b/>
        </w:rPr>
        <w:t>(izvajanje teh pravil)</w:t>
      </w:r>
    </w:p>
    <w:p w:rsidR="00E37D73" w:rsidRDefault="00E37D73" w:rsidP="0055299E">
      <w:pPr>
        <w:jc w:val="both"/>
      </w:pPr>
      <w:r>
        <w:t>Za izvajanje teh pravil je odgovorno poslovodstvo združenja</w:t>
      </w:r>
      <w:r w:rsidR="00C64BEE">
        <w:t xml:space="preserve">, razen če zakon, Pogodba o ustanovitvi </w:t>
      </w:r>
      <w:r w:rsidR="00890510">
        <w:t>združenja ali drug</w:t>
      </w:r>
      <w:r w:rsidR="00C64BEE">
        <w:t xml:space="preserve"> predpis ne določa drugače</w:t>
      </w:r>
      <w:r>
        <w:t xml:space="preserve">. Nadzor nad izvajanjem teh pravil izvaja nadzorni odbor združenja, ki lahko glede posameznih poslov združenja </w:t>
      </w:r>
      <w:r w:rsidR="002962BA">
        <w:t xml:space="preserve">od poslovodstva </w:t>
      </w:r>
      <w:r>
        <w:t xml:space="preserve">zahteva podrobnejša pojasnila </w:t>
      </w:r>
      <w:r w:rsidR="00D66726">
        <w:t>in predložitev dokumentacije</w:t>
      </w:r>
      <w:r w:rsidR="002962BA">
        <w:t xml:space="preserve">. Nadzorni odbor sme </w:t>
      </w:r>
      <w:r>
        <w:t>poslovodstvu naloži</w:t>
      </w:r>
      <w:r w:rsidR="002962BA">
        <w:t>ti</w:t>
      </w:r>
      <w:r>
        <w:t xml:space="preserve"> iz</w:t>
      </w:r>
      <w:r w:rsidR="00C64BEE">
        <w:t>vedbo ukrepov za uskladitev poslovanja s temi pravili.</w:t>
      </w:r>
    </w:p>
    <w:p w:rsidR="00206964" w:rsidRDefault="00206964" w:rsidP="0055299E">
      <w:pPr>
        <w:jc w:val="both"/>
      </w:pPr>
    </w:p>
    <w:p w:rsidR="00057339" w:rsidRPr="00206964" w:rsidRDefault="00206964" w:rsidP="00206964">
      <w:pPr>
        <w:pStyle w:val="Odstavekseznama"/>
        <w:numPr>
          <w:ilvl w:val="0"/>
          <w:numId w:val="1"/>
        </w:numPr>
        <w:jc w:val="center"/>
        <w:rPr>
          <w:b/>
        </w:rPr>
      </w:pPr>
      <w:r w:rsidRPr="00206964">
        <w:rPr>
          <w:b/>
        </w:rPr>
        <w:t>člen</w:t>
      </w:r>
    </w:p>
    <w:p w:rsidR="00206964" w:rsidRDefault="00206964" w:rsidP="00206964">
      <w:pPr>
        <w:pStyle w:val="Odstavekseznama"/>
        <w:jc w:val="center"/>
        <w:rPr>
          <w:b/>
        </w:rPr>
      </w:pPr>
      <w:r w:rsidRPr="00206964">
        <w:rPr>
          <w:b/>
        </w:rPr>
        <w:t>(končne določbe)</w:t>
      </w:r>
    </w:p>
    <w:p w:rsidR="00206964" w:rsidRPr="00206964" w:rsidRDefault="00206964" w:rsidP="00206964">
      <w:pPr>
        <w:jc w:val="both"/>
      </w:pPr>
      <w:r w:rsidRPr="00206964">
        <w:t xml:space="preserve">Ta pravila stopijo v veljavo </w:t>
      </w:r>
      <w:r>
        <w:t>in se uporabljajo, ko jih sprejme skupščina združenja.</w:t>
      </w:r>
      <w:r w:rsidR="00BB0A0B" w:rsidRPr="00BB0A0B">
        <w:t xml:space="preserve"> O njihovi spremembi odloča skupščina združenja.</w:t>
      </w:r>
    </w:p>
    <w:p w:rsidR="0087216B" w:rsidRPr="0087216B" w:rsidRDefault="0087216B" w:rsidP="0087216B">
      <w:pPr>
        <w:jc w:val="both"/>
      </w:pPr>
    </w:p>
    <w:p w:rsidR="001277A7" w:rsidRDefault="001277A7"/>
    <w:sectPr w:rsidR="001277A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27" w:rsidRDefault="00DB2F27" w:rsidP="00F42A45">
      <w:pPr>
        <w:spacing w:after="0" w:line="240" w:lineRule="auto"/>
      </w:pPr>
      <w:r>
        <w:separator/>
      </w:r>
    </w:p>
  </w:endnote>
  <w:endnote w:type="continuationSeparator" w:id="0">
    <w:p w:rsidR="00DB2F27" w:rsidRDefault="00DB2F27" w:rsidP="00F4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182385"/>
      <w:docPartObj>
        <w:docPartGallery w:val="Page Numbers (Bottom of Page)"/>
        <w:docPartUnique/>
      </w:docPartObj>
    </w:sdtPr>
    <w:sdtEndPr/>
    <w:sdtContent>
      <w:p w:rsidR="00F42A45" w:rsidRDefault="00F42A45">
        <w:pPr>
          <w:pStyle w:val="Noga"/>
          <w:jc w:val="center"/>
        </w:pPr>
        <w:r>
          <w:fldChar w:fldCharType="begin"/>
        </w:r>
        <w:r>
          <w:instrText>PAGE   \* MERGEFORMAT</w:instrText>
        </w:r>
        <w:r>
          <w:fldChar w:fldCharType="separate"/>
        </w:r>
        <w:r w:rsidR="001E6889">
          <w:rPr>
            <w:noProof/>
          </w:rPr>
          <w:t>2</w:t>
        </w:r>
        <w:r>
          <w:fldChar w:fldCharType="end"/>
        </w:r>
      </w:p>
    </w:sdtContent>
  </w:sdt>
  <w:p w:rsidR="00F42A45" w:rsidRDefault="00F42A4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27" w:rsidRDefault="00DB2F27" w:rsidP="00F42A45">
      <w:pPr>
        <w:spacing w:after="0" w:line="240" w:lineRule="auto"/>
      </w:pPr>
      <w:r>
        <w:separator/>
      </w:r>
    </w:p>
  </w:footnote>
  <w:footnote w:type="continuationSeparator" w:id="0">
    <w:p w:rsidR="00DB2F27" w:rsidRDefault="00DB2F27" w:rsidP="00F42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00A"/>
    <w:multiLevelType w:val="hybridMultilevel"/>
    <w:tmpl w:val="13309190"/>
    <w:lvl w:ilvl="0" w:tplc="42087F32">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6D952D2"/>
    <w:multiLevelType w:val="hybridMultilevel"/>
    <w:tmpl w:val="3A9854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8C64B6C"/>
    <w:multiLevelType w:val="hybridMultilevel"/>
    <w:tmpl w:val="E8CEE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38"/>
    <w:rsid w:val="0000332C"/>
    <w:rsid w:val="000042FB"/>
    <w:rsid w:val="000129FF"/>
    <w:rsid w:val="00020F09"/>
    <w:rsid w:val="00035A38"/>
    <w:rsid w:val="00057339"/>
    <w:rsid w:val="00077413"/>
    <w:rsid w:val="000C1138"/>
    <w:rsid w:val="000E6443"/>
    <w:rsid w:val="00101BB3"/>
    <w:rsid w:val="001031C2"/>
    <w:rsid w:val="00115550"/>
    <w:rsid w:val="00123F5F"/>
    <w:rsid w:val="00125C94"/>
    <w:rsid w:val="001277A7"/>
    <w:rsid w:val="00134C12"/>
    <w:rsid w:val="001845A1"/>
    <w:rsid w:val="001B6F8A"/>
    <w:rsid w:val="001E0763"/>
    <w:rsid w:val="001E2954"/>
    <w:rsid w:val="001E6889"/>
    <w:rsid w:val="001E7536"/>
    <w:rsid w:val="00205295"/>
    <w:rsid w:val="00206964"/>
    <w:rsid w:val="002205B0"/>
    <w:rsid w:val="00242724"/>
    <w:rsid w:val="002555B1"/>
    <w:rsid w:val="00262E06"/>
    <w:rsid w:val="0029502F"/>
    <w:rsid w:val="002962BA"/>
    <w:rsid w:val="002A0B0A"/>
    <w:rsid w:val="002A7E1D"/>
    <w:rsid w:val="00330B42"/>
    <w:rsid w:val="00343A0E"/>
    <w:rsid w:val="0039374F"/>
    <w:rsid w:val="003D6F36"/>
    <w:rsid w:val="003E48BF"/>
    <w:rsid w:val="00400D70"/>
    <w:rsid w:val="004121BC"/>
    <w:rsid w:val="00417E8C"/>
    <w:rsid w:val="00433BB3"/>
    <w:rsid w:val="00435D1E"/>
    <w:rsid w:val="00441883"/>
    <w:rsid w:val="00453A7A"/>
    <w:rsid w:val="004662BF"/>
    <w:rsid w:val="00472E83"/>
    <w:rsid w:val="00475BC1"/>
    <w:rsid w:val="00494D63"/>
    <w:rsid w:val="004B248A"/>
    <w:rsid w:val="00543696"/>
    <w:rsid w:val="00552393"/>
    <w:rsid w:val="0055299E"/>
    <w:rsid w:val="00576491"/>
    <w:rsid w:val="00576A78"/>
    <w:rsid w:val="00587112"/>
    <w:rsid w:val="00596B34"/>
    <w:rsid w:val="005A5C50"/>
    <w:rsid w:val="005A62FC"/>
    <w:rsid w:val="00600F71"/>
    <w:rsid w:val="00601449"/>
    <w:rsid w:val="00624B5F"/>
    <w:rsid w:val="00636339"/>
    <w:rsid w:val="00641085"/>
    <w:rsid w:val="00731799"/>
    <w:rsid w:val="00775B02"/>
    <w:rsid w:val="00787AEA"/>
    <w:rsid w:val="007C1BB7"/>
    <w:rsid w:val="007C74C3"/>
    <w:rsid w:val="007D1213"/>
    <w:rsid w:val="00803F82"/>
    <w:rsid w:val="008237BA"/>
    <w:rsid w:val="00845DD9"/>
    <w:rsid w:val="00853189"/>
    <w:rsid w:val="00853BC5"/>
    <w:rsid w:val="008715C9"/>
    <w:rsid w:val="0087216B"/>
    <w:rsid w:val="00890510"/>
    <w:rsid w:val="008D15B3"/>
    <w:rsid w:val="008D67A9"/>
    <w:rsid w:val="008F5505"/>
    <w:rsid w:val="00920C52"/>
    <w:rsid w:val="00924E38"/>
    <w:rsid w:val="00934D47"/>
    <w:rsid w:val="00955145"/>
    <w:rsid w:val="00972F23"/>
    <w:rsid w:val="00976C8F"/>
    <w:rsid w:val="00977B05"/>
    <w:rsid w:val="009D167A"/>
    <w:rsid w:val="009D7AD3"/>
    <w:rsid w:val="009E5F4F"/>
    <w:rsid w:val="00A1178A"/>
    <w:rsid w:val="00A3587E"/>
    <w:rsid w:val="00A40CCD"/>
    <w:rsid w:val="00A64F6B"/>
    <w:rsid w:val="00AC3955"/>
    <w:rsid w:val="00AD546B"/>
    <w:rsid w:val="00AD66B4"/>
    <w:rsid w:val="00AF258D"/>
    <w:rsid w:val="00B5690E"/>
    <w:rsid w:val="00B65309"/>
    <w:rsid w:val="00B65E37"/>
    <w:rsid w:val="00B70D48"/>
    <w:rsid w:val="00B869B3"/>
    <w:rsid w:val="00B9625C"/>
    <w:rsid w:val="00BB0A0B"/>
    <w:rsid w:val="00BF14A0"/>
    <w:rsid w:val="00BF6928"/>
    <w:rsid w:val="00C127DA"/>
    <w:rsid w:val="00C432D7"/>
    <w:rsid w:val="00C64BEE"/>
    <w:rsid w:val="00CB46FC"/>
    <w:rsid w:val="00CB5F80"/>
    <w:rsid w:val="00CC2A26"/>
    <w:rsid w:val="00CE1558"/>
    <w:rsid w:val="00D43224"/>
    <w:rsid w:val="00D5575C"/>
    <w:rsid w:val="00D66726"/>
    <w:rsid w:val="00D74B73"/>
    <w:rsid w:val="00D87269"/>
    <w:rsid w:val="00D9096D"/>
    <w:rsid w:val="00D92EA6"/>
    <w:rsid w:val="00D9432B"/>
    <w:rsid w:val="00DB2F27"/>
    <w:rsid w:val="00E21B6A"/>
    <w:rsid w:val="00E37D73"/>
    <w:rsid w:val="00EA21C7"/>
    <w:rsid w:val="00EB2F22"/>
    <w:rsid w:val="00ED35C8"/>
    <w:rsid w:val="00EE3679"/>
    <w:rsid w:val="00EE7EF1"/>
    <w:rsid w:val="00F070DE"/>
    <w:rsid w:val="00F4057B"/>
    <w:rsid w:val="00F40F76"/>
    <w:rsid w:val="00F42A45"/>
    <w:rsid w:val="00F7553B"/>
    <w:rsid w:val="00FA0568"/>
    <w:rsid w:val="00FB3E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00D70"/>
    <w:pPr>
      <w:ind w:left="720"/>
      <w:contextualSpacing/>
    </w:pPr>
  </w:style>
  <w:style w:type="paragraph" w:styleId="Glava">
    <w:name w:val="header"/>
    <w:basedOn w:val="Navaden"/>
    <w:link w:val="GlavaZnak"/>
    <w:uiPriority w:val="99"/>
    <w:unhideWhenUsed/>
    <w:rsid w:val="00F42A45"/>
    <w:pPr>
      <w:tabs>
        <w:tab w:val="center" w:pos="4536"/>
        <w:tab w:val="right" w:pos="9072"/>
      </w:tabs>
      <w:spacing w:after="0" w:line="240" w:lineRule="auto"/>
    </w:pPr>
  </w:style>
  <w:style w:type="character" w:customStyle="1" w:styleId="GlavaZnak">
    <w:name w:val="Glava Znak"/>
    <w:basedOn w:val="Privzetapisavaodstavka"/>
    <w:link w:val="Glava"/>
    <w:uiPriority w:val="99"/>
    <w:rsid w:val="00F42A45"/>
  </w:style>
  <w:style w:type="paragraph" w:styleId="Noga">
    <w:name w:val="footer"/>
    <w:basedOn w:val="Navaden"/>
    <w:link w:val="NogaZnak"/>
    <w:uiPriority w:val="99"/>
    <w:unhideWhenUsed/>
    <w:rsid w:val="00F42A45"/>
    <w:pPr>
      <w:tabs>
        <w:tab w:val="center" w:pos="4536"/>
        <w:tab w:val="right" w:pos="9072"/>
      </w:tabs>
      <w:spacing w:after="0" w:line="240" w:lineRule="auto"/>
    </w:pPr>
  </w:style>
  <w:style w:type="character" w:customStyle="1" w:styleId="NogaZnak">
    <w:name w:val="Noga Znak"/>
    <w:basedOn w:val="Privzetapisavaodstavka"/>
    <w:link w:val="Noga"/>
    <w:uiPriority w:val="99"/>
    <w:rsid w:val="00F42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00D70"/>
    <w:pPr>
      <w:ind w:left="720"/>
      <w:contextualSpacing/>
    </w:pPr>
  </w:style>
  <w:style w:type="paragraph" w:styleId="Glava">
    <w:name w:val="header"/>
    <w:basedOn w:val="Navaden"/>
    <w:link w:val="GlavaZnak"/>
    <w:uiPriority w:val="99"/>
    <w:unhideWhenUsed/>
    <w:rsid w:val="00F42A45"/>
    <w:pPr>
      <w:tabs>
        <w:tab w:val="center" w:pos="4536"/>
        <w:tab w:val="right" w:pos="9072"/>
      </w:tabs>
      <w:spacing w:after="0" w:line="240" w:lineRule="auto"/>
    </w:pPr>
  </w:style>
  <w:style w:type="character" w:customStyle="1" w:styleId="GlavaZnak">
    <w:name w:val="Glava Znak"/>
    <w:basedOn w:val="Privzetapisavaodstavka"/>
    <w:link w:val="Glava"/>
    <w:uiPriority w:val="99"/>
    <w:rsid w:val="00F42A45"/>
  </w:style>
  <w:style w:type="paragraph" w:styleId="Noga">
    <w:name w:val="footer"/>
    <w:basedOn w:val="Navaden"/>
    <w:link w:val="NogaZnak"/>
    <w:uiPriority w:val="99"/>
    <w:unhideWhenUsed/>
    <w:rsid w:val="00F42A45"/>
    <w:pPr>
      <w:tabs>
        <w:tab w:val="center" w:pos="4536"/>
        <w:tab w:val="right" w:pos="9072"/>
      </w:tabs>
      <w:spacing w:after="0" w:line="240" w:lineRule="auto"/>
    </w:pPr>
  </w:style>
  <w:style w:type="character" w:customStyle="1" w:styleId="NogaZnak">
    <w:name w:val="Noga Znak"/>
    <w:basedOn w:val="Privzetapisavaodstavka"/>
    <w:link w:val="Noga"/>
    <w:uiPriority w:val="99"/>
    <w:rsid w:val="00F4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460518-41BB-4080-B4B5-CDE9B549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1473</Words>
  <Characters>8400</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Grad-Law Office Pantelič</cp:lastModifiedBy>
  <cp:revision>60</cp:revision>
  <dcterms:created xsi:type="dcterms:W3CDTF">2017-04-24T09:57:00Z</dcterms:created>
  <dcterms:modified xsi:type="dcterms:W3CDTF">2017-04-25T15:46:00Z</dcterms:modified>
</cp:coreProperties>
</file>